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6A2FA8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21A86C3" w:rsidR="00BC628D" w:rsidRPr="00A42D69" w:rsidRDefault="00985F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Miestna akčná skupina ROŇAVA,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6A2FA8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4337B48A" w:rsidR="008C0112" w:rsidRPr="008C0112" w:rsidRDefault="006044D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4B15E873" w:rsidR="008C0112" w:rsidRPr="008C0112" w:rsidRDefault="006044D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 xml:space="preserve">u, najneskôr však do 30 dní od </w:t>
            </w:r>
            <w:r>
              <w:rPr>
                <w:rFonts w:asciiTheme="minorHAnsi" w:hAnsiTheme="minorHAnsi"/>
                <w:sz w:val="20"/>
              </w:rPr>
              <w:lastRenderedPageBreak/>
              <w:t xml:space="preserve">predloženia záverečnej </w:t>
            </w:r>
            <w:proofErr w:type="spellStart"/>
            <w:r>
              <w:rPr>
                <w:rFonts w:asciiTheme="minorHAnsi" w:hAnsiTheme="minorHAnsi"/>
                <w:sz w:val="20"/>
              </w:rPr>
              <w:t>ŽoP</w:t>
            </w:r>
            <w:proofErr w:type="spellEnd"/>
            <w:r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2836736" w:rsidR="00BC628D" w:rsidRPr="009365C4" w:rsidRDefault="006044D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261B3785" w:rsidR="00BC628D" w:rsidRPr="009365C4" w:rsidRDefault="006044D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50DAFF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r w:rsidR="00E80C51">
        <w:rPr>
          <w:rFonts w:asciiTheme="minorHAnsi" w:hAnsiTheme="minorHAnsi"/>
        </w:rPr>
        <w:t>dôvetku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45CCB1FA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 w:rsidR="00362975">
        <w:rPr>
          <w:rFonts w:asciiTheme="minorHAnsi" w:hAnsiTheme="minorHAnsi"/>
        </w:rPr>
        <w:t xml:space="preserve"> V prípade odchýlky, ktorá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362975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8F7F9" w14:textId="77777777" w:rsidR="006A2FA8" w:rsidRDefault="006A2FA8">
      <w:r>
        <w:separator/>
      </w:r>
    </w:p>
  </w:endnote>
  <w:endnote w:type="continuationSeparator" w:id="0">
    <w:p w14:paraId="49C8D850" w14:textId="77777777" w:rsidR="006A2FA8" w:rsidRDefault="006A2FA8">
      <w:r>
        <w:continuationSeparator/>
      </w:r>
    </w:p>
  </w:endnote>
  <w:endnote w:type="continuationNotice" w:id="1">
    <w:p w14:paraId="035BEBFD" w14:textId="77777777" w:rsidR="006A2FA8" w:rsidRDefault="006A2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E4221" w14:textId="77777777" w:rsidR="006A2FA8" w:rsidRDefault="006A2FA8">
      <w:r>
        <w:separator/>
      </w:r>
    </w:p>
  </w:footnote>
  <w:footnote w:type="continuationSeparator" w:id="0">
    <w:p w14:paraId="104664E7" w14:textId="77777777" w:rsidR="006A2FA8" w:rsidRDefault="006A2FA8">
      <w:r>
        <w:continuationSeparator/>
      </w:r>
    </w:p>
  </w:footnote>
  <w:footnote w:type="continuationNotice" w:id="1">
    <w:p w14:paraId="5CF1FF49" w14:textId="77777777" w:rsidR="006A2FA8" w:rsidRDefault="006A2FA8"/>
  </w:footnote>
  <w:footnote w:id="2">
    <w:p w14:paraId="23620C2B" w14:textId="15B21C32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7987890C" w14:textId="77777777" w:rsidR="006044D7" w:rsidRPr="00893229" w:rsidRDefault="006044D7" w:rsidP="006044D7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27C8E2AC" w:rsidR="005C2740" w:rsidRPr="001F013A" w:rsidRDefault="00F93AE4" w:rsidP="005C274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60ACB141" wp14:editId="57953DCE">
          <wp:simplePos x="0" y="0"/>
          <wp:positionH relativeFrom="column">
            <wp:posOffset>4112895</wp:posOffset>
          </wp:positionH>
          <wp:positionV relativeFrom="paragraph">
            <wp:posOffset>-153035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FD209A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814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297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5F7BCC"/>
    <w:rsid w:val="0060028E"/>
    <w:rsid w:val="00601F09"/>
    <w:rsid w:val="0060232D"/>
    <w:rsid w:val="00602914"/>
    <w:rsid w:val="00602D0A"/>
    <w:rsid w:val="006034B1"/>
    <w:rsid w:val="00603E98"/>
    <w:rsid w:val="006044D7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2FA8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597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30AA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0ED4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A21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0C51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3AE4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6E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93DFB"/>
    <w:rsid w:val="000D0DF6"/>
    <w:rsid w:val="002C1A6B"/>
    <w:rsid w:val="00306AF2"/>
    <w:rsid w:val="006E2383"/>
    <w:rsid w:val="00807D7A"/>
    <w:rsid w:val="00A26E08"/>
    <w:rsid w:val="00A3553E"/>
    <w:rsid w:val="00A74980"/>
    <w:rsid w:val="00B62629"/>
    <w:rsid w:val="00C31B9D"/>
    <w:rsid w:val="00C40C5F"/>
    <w:rsid w:val="00C61A49"/>
    <w:rsid w:val="00CA2517"/>
    <w:rsid w:val="00D44CE6"/>
    <w:rsid w:val="00D87468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3CD2E-70D3-4D3E-8295-C7EE4B85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2020-01-24T11:53:00Z</dcterms:created>
  <dcterms:modified xsi:type="dcterms:W3CDTF">2022-09-14T11:32:00Z</dcterms:modified>
</cp:coreProperties>
</file>